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50" w:lineRule="atLeast"/>
        <w:ind w:left="0" w:right="0"/>
        <w:jc w:val="center"/>
        <w:rPr>
          <w:sz w:val="36"/>
          <w:szCs w:val="36"/>
        </w:rPr>
      </w:pPr>
      <w:r>
        <w:rPr>
          <w:i w:val="0"/>
          <w:caps w:val="0"/>
          <w:color w:val="333333"/>
          <w:spacing w:val="0"/>
          <w:sz w:val="36"/>
          <w:szCs w:val="36"/>
          <w:shd w:val="clear" w:fill="FFFFFF"/>
        </w:rPr>
        <w:t>2020年</w:t>
      </w:r>
      <w:r>
        <w:rPr>
          <w:rFonts w:hint="eastAsia"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前</w:t>
      </w:r>
      <w:r>
        <w:rPr>
          <w:rFonts w:hint="eastAsia"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三季度</w:t>
      </w:r>
      <w:r>
        <w:rPr>
          <w:i w:val="0"/>
          <w:caps w:val="0"/>
          <w:color w:val="333333"/>
          <w:spacing w:val="0"/>
          <w:sz w:val="36"/>
          <w:szCs w:val="36"/>
          <w:shd w:val="clear" w:fill="FFFFFF"/>
        </w:rPr>
        <w:t>柳州市旅游主要指标数据通报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据统计，2020年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前三季度我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市共接待国内外游客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3371.21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万人次，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同比恢复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62.5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%；实现旅游总消费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373.03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亿元，同比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恢复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58.2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%。其中，接待入境过夜游客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0.99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万人次，同比下降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95.0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%，实现国际旅游（外汇）消费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494.83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万美元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(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折合人民币约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0.34亿元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，同比下降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94.9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%；接待国内游客人数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3370.22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万人次，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同比恢复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62.7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%；实现国内旅游消费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372.69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亿元，同比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恢复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58.3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%。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图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  2020年前三季度柳州市游客人数情况图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153670</wp:posOffset>
            </wp:positionV>
            <wp:extent cx="5382895" cy="4265295"/>
            <wp:effectExtent l="4445" t="4445" r="22860" b="16510"/>
            <wp:wrapTopAndBottom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471170</wp:posOffset>
            </wp:positionV>
            <wp:extent cx="5270500" cy="4029075"/>
            <wp:effectExtent l="4445" t="4445" r="20955" b="5080"/>
            <wp:wrapTopAndBottom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图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  2020年前三季度柳州市旅游消费情况图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E7D12"/>
    <w:rsid w:val="000272D7"/>
    <w:rsid w:val="08E0631B"/>
    <w:rsid w:val="3BAE71DE"/>
    <w:rsid w:val="409D4FB1"/>
    <w:rsid w:val="6870076B"/>
    <w:rsid w:val="6B4E7D12"/>
    <w:rsid w:val="79E7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Administrator\Desktop\&#22270;&#26631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&#22270;&#2663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7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方正小标宋简体" panose="03000509000000000000" charset="-122"/>
                <a:ea typeface="方正小标宋简体" panose="03000509000000000000" charset="-122"/>
                <a:cs typeface="方正小标宋简体" panose="03000509000000000000" charset="-122"/>
                <a:sym typeface="方正小标宋简体" panose="03000509000000000000" charset="-122"/>
              </a:defRPr>
            </a:pPr>
            <a:r>
              <a:rPr sz="1700">
                <a:latin typeface="方正小标宋简体" panose="03000509000000000000" charset="-122"/>
                <a:ea typeface="方正小标宋简体" panose="03000509000000000000" charset="-122"/>
                <a:cs typeface="方正小标宋简体" panose="03000509000000000000" charset="-122"/>
                <a:sym typeface="方正小标宋简体" panose="03000509000000000000" charset="-122"/>
              </a:rPr>
              <a:t>2020年前三季度柳州市游客人数情况图</a:t>
            </a:r>
            <a:endParaRPr sz="1700">
              <a:latin typeface="方正小标宋简体" panose="03000509000000000000" charset="-122"/>
              <a:ea typeface="方正小标宋简体" panose="03000509000000000000" charset="-122"/>
              <a:cs typeface="方正小标宋简体" panose="03000509000000000000" charset="-122"/>
              <a:sym typeface="方正小标宋简体" panose="03000509000000000000" charset="-122"/>
            </a:endParaRPr>
          </a:p>
        </c:rich>
      </c:tx>
      <c:layout>
        <c:manualLayout>
          <c:xMode val="edge"/>
          <c:yMode val="edge"/>
          <c:x val="0.154240887106288"/>
          <c:y val="0.024564537740062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148283590893"/>
          <c:y val="0.200238201578085"/>
          <c:w val="0.862640084935708"/>
          <c:h val="0.72585975882090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[图标.xlsx]前三季度!$A$10:$A$12</c:f>
              <c:strCache>
                <c:ptCount val="3"/>
                <c:pt idx="0" c:formatCode="0.00_);[Red]\(0.00\)">
                  <c:v>游客总人数</c:v>
                </c:pt>
                <c:pt idx="1" c:formatCode="0.00_);[Red]\(0.00\)">
                  <c:v>国内游客人数</c:v>
                </c:pt>
                <c:pt idx="2">
                  <c:v>入境过夜游客人数</c:v>
                </c:pt>
              </c:strCache>
            </c:strRef>
          </c:cat>
          <c:val>
            <c:numRef>
              <c:f>[图标.xlsx]前三季度!$B$10:$B$12</c:f>
              <c:numCache>
                <c:formatCode>0.00_);[Red]\(0.00\)</c:formatCode>
                <c:ptCount val="3"/>
                <c:pt idx="0">
                  <c:v>3371.205</c:v>
                </c:pt>
                <c:pt idx="1">
                  <c:v>3370.22</c:v>
                </c:pt>
                <c:pt idx="2">
                  <c:v>0.99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9293130"/>
        <c:axId val="390546272"/>
      </c:barChart>
      <c:catAx>
        <c:axId val="179293130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黑体" panose="02010609060101010101" charset="-122"/>
                    <a:ea typeface="黑体" panose="02010609060101010101" charset="-122"/>
                    <a:cs typeface="黑体" panose="02010609060101010101" charset="-122"/>
                    <a:sym typeface="黑体" panose="02010609060101010101" charset="-122"/>
                  </a:defRPr>
                </a:pPr>
                <a:r>
                  <a:rPr sz="1000">
                    <a:latin typeface="黑体" panose="02010609060101010101" charset="-122"/>
                    <a:ea typeface="黑体" panose="02010609060101010101" charset="-122"/>
                    <a:cs typeface="黑体" panose="02010609060101010101" charset="-122"/>
                    <a:sym typeface="黑体" panose="02010609060101010101" charset="-122"/>
                  </a:rPr>
                  <a:t>单位：万人次</a:t>
                </a:r>
                <a:endParaRPr sz="1000">
                  <a:latin typeface="黑体" panose="02010609060101010101" charset="-122"/>
                  <a:ea typeface="黑体" panose="02010609060101010101" charset="-122"/>
                  <a:cs typeface="黑体" panose="02010609060101010101" charset="-122"/>
                  <a:sym typeface="黑体" panose="02010609060101010101" charset="-122"/>
                </a:endParaRPr>
              </a:p>
            </c:rich>
          </c:tx>
          <c:layout>
            <c:manualLayout>
              <c:xMode val="edge"/>
              <c:yMode val="edge"/>
              <c:x val="0.0198299528832548"/>
              <c:y val="0.119033288705444"/>
            </c:manualLayout>
          </c:layout>
          <c:overlay val="0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90546272"/>
        <c:crosses val="autoZero"/>
        <c:auto val="1"/>
        <c:lblAlgn val="ctr"/>
        <c:lblOffset val="100"/>
        <c:noMultiLvlLbl val="0"/>
      </c:catAx>
      <c:valAx>
        <c:axId val="390546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_);[Red]\(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defRPr>
            </a:pPr>
          </a:p>
        </c:txPr>
        <c:crossAx val="17929313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7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方正小标宋简体" panose="03000509000000000000" charset="-122"/>
                <a:ea typeface="方正小标宋简体" panose="03000509000000000000" charset="-122"/>
                <a:cs typeface="方正小标宋简体" panose="03000509000000000000" charset="-122"/>
                <a:sym typeface="方正小标宋简体" panose="03000509000000000000" charset="-122"/>
              </a:defRPr>
            </a:pPr>
            <a:r>
              <a:rPr sz="1700">
                <a:latin typeface="方正小标宋简体" panose="03000509000000000000" charset="-122"/>
                <a:ea typeface="方正小标宋简体" panose="03000509000000000000" charset="-122"/>
                <a:cs typeface="方正小标宋简体" panose="03000509000000000000" charset="-122"/>
                <a:sym typeface="方正小标宋简体" panose="03000509000000000000" charset="-122"/>
              </a:rPr>
              <a:t>2020年前三季度柳州市旅游消费情况图</a:t>
            </a:r>
            <a:endParaRPr sz="1700">
              <a:latin typeface="方正小标宋简体" panose="03000509000000000000" charset="-122"/>
              <a:ea typeface="方正小标宋简体" panose="03000509000000000000" charset="-122"/>
              <a:cs typeface="方正小标宋简体" panose="03000509000000000000" charset="-122"/>
              <a:sym typeface="方正小标宋简体" panose="03000509000000000000" charset="-122"/>
            </a:endParaRPr>
          </a:p>
        </c:rich>
      </c:tx>
      <c:layout>
        <c:manualLayout>
          <c:xMode val="edge"/>
          <c:yMode val="edge"/>
          <c:x val="0.167269030946465"/>
          <c:y val="0.0310696848646249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9035464196973"/>
          <c:y val="0.224145583666223"/>
          <c:w val="0.867811158798283"/>
          <c:h val="0.70211569758840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[图标.xlsx]前三季度!$C$10:$C$12</c:f>
              <c:strCache>
                <c:ptCount val="3"/>
                <c:pt idx="0" c:formatCode="0.00_);[Red]\(0.00\)">
                  <c:v>旅游总消费</c:v>
                </c:pt>
                <c:pt idx="1" c:formatCode="0.00_);[Red]\(0.00\)">
                  <c:v>国内旅游消费</c:v>
                </c:pt>
                <c:pt idx="2" c:formatCode="0.00_);[Red]\(0.00\)">
                  <c:v>国际旅游(外汇)消费</c:v>
                </c:pt>
              </c:strCache>
            </c:strRef>
          </c:cat>
          <c:val>
            <c:numRef>
              <c:f>[图标.xlsx]前三季度!$D$10:$D$12</c:f>
              <c:numCache>
                <c:formatCode>0.00_);[Red]\(0.00\)</c:formatCode>
                <c:ptCount val="3"/>
                <c:pt idx="0">
                  <c:v>373.0334587368</c:v>
                </c:pt>
                <c:pt idx="1">
                  <c:v>372.691551</c:v>
                </c:pt>
                <c:pt idx="2">
                  <c:v>0.34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61812034"/>
        <c:axId val="779807857"/>
      </c:barChart>
      <c:catAx>
        <c:axId val="861812034"/>
        <c:scaling>
          <c:orientation val="minMax"/>
        </c:scaling>
        <c:delete val="0"/>
        <c:axPos val="b"/>
        <c:title>
          <c:tx>
            <c:rich>
              <a:bodyPr rot="0" spcFirstLastPara="0" vertOverflow="ellipsis" vert="horz" wrap="square" anchor="ctr" anchorCtr="1"/>
              <a:lstStyle/>
              <a:p>
                <a:pPr defTabSz="914400">
                  <a:defRPr lang="zh-CN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黑体" panose="02010609060101010101" charset="-122"/>
                    <a:ea typeface="黑体" panose="02010609060101010101" charset="-122"/>
                    <a:cs typeface="黑体" panose="02010609060101010101" charset="-122"/>
                    <a:sym typeface="黑体" panose="02010609060101010101" charset="-122"/>
                  </a:defRPr>
                </a:pPr>
                <a:r>
                  <a:rPr sz="1000">
                    <a:latin typeface="黑体" panose="02010609060101010101" charset="-122"/>
                    <a:ea typeface="黑体" panose="02010609060101010101" charset="-122"/>
                    <a:cs typeface="黑体" panose="02010609060101010101" charset="-122"/>
                    <a:sym typeface="黑体" panose="02010609060101010101" charset="-122"/>
                  </a:rPr>
                  <a:t>单位：亿元</a:t>
                </a:r>
                <a:endParaRPr sz="1000">
                  <a:latin typeface="黑体" panose="02010609060101010101" charset="-122"/>
                  <a:ea typeface="黑体" panose="02010609060101010101" charset="-122"/>
                  <a:cs typeface="黑体" panose="02010609060101010101" charset="-122"/>
                  <a:sym typeface="黑体" panose="02010609060101010101" charset="-122"/>
                </a:endParaRPr>
              </a:p>
            </c:rich>
          </c:tx>
          <c:layout>
            <c:manualLayout>
              <c:xMode val="edge"/>
              <c:yMode val="edge"/>
              <c:x val="0.0345832392139147"/>
              <c:y val="0.137298416925581"/>
            </c:manualLayout>
          </c:layout>
          <c:overlay val="0"/>
          <c:spPr>
            <a:noFill/>
            <a:ln>
              <a:noFill/>
            </a:ln>
            <a:effectLst/>
          </c:sp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79807857"/>
        <c:crosses val="autoZero"/>
        <c:auto val="1"/>
        <c:lblAlgn val="ctr"/>
        <c:lblOffset val="100"/>
        <c:noMultiLvlLbl val="0"/>
      </c:catAx>
      <c:valAx>
        <c:axId val="77980785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_);[Red]\(0\)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defRPr>
            </a:pPr>
          </a:p>
        </c:txPr>
        <c:crossAx val="86181203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2020-11-10T09:47:00Z</dcterms:created>
  <dc:creator>沙漏</dc:creator>
  <cp:lastModifiedBy>沙漏</cp:lastModifiedBy>
  <dcterms:modified xsi:type="dcterms:W3CDTF">2020-11-12T00:44:29Z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