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i w:val="0"/>
          <w:caps w:val="0"/>
          <w:color w:val="333333"/>
          <w:spacing w:val="0"/>
          <w:sz w:val="36"/>
          <w:szCs w:val="36"/>
          <w:shd w:val="clear" w:fill="FFFFFF"/>
        </w:rPr>
        <w:t>2020年</w:t>
      </w:r>
      <w:r>
        <w:rPr>
          <w:rFonts w:hint="eastAsia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上半年</w:t>
      </w:r>
      <w:r>
        <w:rPr>
          <w:i w:val="0"/>
          <w:caps w:val="0"/>
          <w:color w:val="333333"/>
          <w:spacing w:val="0"/>
          <w:sz w:val="36"/>
          <w:szCs w:val="36"/>
          <w:shd w:val="clear" w:fill="FFFFFF"/>
        </w:rPr>
        <w:t>柳州市旅游主要指标数据通报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据统计，2020年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上半年我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市共接待国内外游客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1454.54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万人次，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同比恢复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41.9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%；实现旅游总消费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160.28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亿元，同比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恢复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38.4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%。其中，接待入境过夜游客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0.92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万人次，同比下降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92.3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%，实现国际旅游（外汇）消费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476.41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万美元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（折合人民币约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0.33亿元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，同比下降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91.6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%；接待国内游客人数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1453.62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万人次，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同比恢复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41.9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%；实现国内旅游消费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159.95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亿元，同比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恢复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38.7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  2020年上半年柳州市游客人数情况图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23495</wp:posOffset>
            </wp:positionH>
            <wp:positionV relativeFrom="page">
              <wp:posOffset>4071620</wp:posOffset>
            </wp:positionV>
            <wp:extent cx="5214620" cy="3952240"/>
            <wp:effectExtent l="4445" t="4445" r="19685" b="5715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433070</wp:posOffset>
            </wp:positionV>
            <wp:extent cx="5318760" cy="3900170"/>
            <wp:effectExtent l="4445" t="5080" r="10795" b="19050"/>
            <wp:wrapTopAndBottom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  2020年上半年柳州市旅游消费情况图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409D4FB1"/>
    <w:rsid w:val="4D26150E"/>
    <w:rsid w:val="4DD40271"/>
    <w:rsid w:val="524422D4"/>
    <w:rsid w:val="6B4E7D12"/>
    <w:rsid w:val="70266D41"/>
    <w:rsid w:val="7446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2270;&#26631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22270;&#2663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  <a:r>
              <a:rPr sz="1700"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rPr>
              <a:t>2020年上半年柳州市游客人数情况图</a:t>
            </a:r>
            <a:endParaRPr sz="1700">
              <a:latin typeface="方正小标宋简体" panose="03000509000000000000" charset="-122"/>
              <a:ea typeface="方正小标宋简体" panose="03000509000000000000" charset="-122"/>
              <a:cs typeface="方正小标宋简体" panose="03000509000000000000" charset="-122"/>
              <a:sym typeface="方正小标宋简体" panose="03000509000000000000" charset="-122"/>
            </a:endParaRPr>
          </a:p>
        </c:rich>
      </c:tx>
      <c:layout>
        <c:manualLayout>
          <c:xMode val="edge"/>
          <c:yMode val="edge"/>
          <c:x val="0.197403064839127"/>
          <c:y val="0.03192120200281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7696054554311"/>
          <c:y val="0.20694087403599"/>
          <c:w val="0.861130053580127"/>
          <c:h val="0.7065552699228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[图标.xlsx]上半年!$B$10:$B$12</c:f>
              <c:strCache>
                <c:ptCount val="3"/>
                <c:pt idx="0" c:formatCode="0.00_);[Red]\(0.00\)">
                  <c:v>游客总人数</c:v>
                </c:pt>
                <c:pt idx="1" c:formatCode="0.00_);[Red]\(0.00\)">
                  <c:v>国内游客人数</c:v>
                </c:pt>
                <c:pt idx="2">
                  <c:v>入境过夜游客人数</c:v>
                </c:pt>
              </c:strCache>
            </c:strRef>
          </c:cat>
          <c:val>
            <c:numRef>
              <c:f>[图标.xlsx]上半年!$C$10:$C$12</c:f>
              <c:numCache>
                <c:formatCode>0.00_);[Red]\(0.00\)</c:formatCode>
                <c:ptCount val="3"/>
                <c:pt idx="0">
                  <c:v>1454.5397</c:v>
                </c:pt>
                <c:pt idx="1">
                  <c:v>1453.62</c:v>
                </c:pt>
                <c:pt idx="2">
                  <c:v>0.9197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8588312"/>
        <c:axId val="384811264"/>
      </c:barChart>
      <c:catAx>
        <c:axId val="508588312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  <a:r>
                  <a:rPr sz="1000"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单位：万人次</a:t>
                </a:r>
                <a:endParaRPr sz="1000">
                  <a:latin typeface="黑体" panose="02010609060101010101" charset="-122"/>
                  <a:ea typeface="黑体" panose="02010609060101010101" charset="-122"/>
                  <a:cs typeface="黑体" panose="02010609060101010101" charset="-122"/>
                  <a:sym typeface="黑体" panose="02010609060101010101" charset="-122"/>
                </a:endParaRPr>
              </a:p>
            </c:rich>
          </c:tx>
          <c:layout>
            <c:manualLayout>
              <c:xMode val="edge"/>
              <c:yMode val="edge"/>
              <c:x val="0.0259228614855373"/>
              <c:y val="0.125274031713978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j-ea"/>
                <a:sym typeface="+mj-ea"/>
              </a:defRPr>
            </a:pPr>
          </a:p>
        </c:txPr>
        <c:crossAx val="384811264"/>
        <c:crosses val="autoZero"/>
        <c:auto val="1"/>
        <c:lblAlgn val="ctr"/>
        <c:lblOffset val="100"/>
        <c:noMultiLvlLbl val="0"/>
      </c:catAx>
      <c:valAx>
        <c:axId val="384811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508588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  <a:r>
              <a:rPr sz="1700"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rPr>
              <a:t>2020年上半年柳州市旅游消费情况图</a:t>
            </a:r>
            <a:endParaRPr sz="1700">
              <a:latin typeface="方正小标宋简体" panose="03000509000000000000" charset="-122"/>
              <a:ea typeface="方正小标宋简体" panose="03000509000000000000" charset="-122"/>
              <a:cs typeface="方正小标宋简体" panose="03000509000000000000" charset="-122"/>
              <a:sym typeface="方正小标宋简体" panose="03000509000000000000" charset="-122"/>
            </a:endParaRPr>
          </a:p>
        </c:rich>
      </c:tx>
      <c:layout>
        <c:manualLayout>
          <c:xMode val="edge"/>
          <c:yMode val="edge"/>
          <c:x val="0.201803650502214"/>
          <c:y val="0.022081554541439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955587392550143"/>
          <c:y val="0.191468577010746"/>
          <c:w val="0.880682903533906"/>
          <c:h val="0.72738521654184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[图标.xlsx]上半年!$D$10:$D$12</c:f>
              <c:strCache>
                <c:ptCount val="3"/>
                <c:pt idx="0" c:formatCode="0.00_);[Red]\(0.00\)">
                  <c:v>旅游总消费</c:v>
                </c:pt>
                <c:pt idx="1" c:formatCode="0.00_);[Red]\(0.00\)">
                  <c:v>国内旅游消费</c:v>
                </c:pt>
                <c:pt idx="2" c:formatCode="0.00_);[Red]\(0.00\)">
                  <c:v>国际旅游(外汇)消费</c:v>
                </c:pt>
              </c:strCache>
            </c:strRef>
          </c:cat>
          <c:val>
            <c:numRef>
              <c:f>[图标.xlsx]上半年!$E$10:$E$12</c:f>
              <c:numCache>
                <c:formatCode>0.00_);[Red]\(0.00\)</c:formatCode>
                <c:ptCount val="3"/>
                <c:pt idx="0">
                  <c:v>160.2820982536</c:v>
                </c:pt>
                <c:pt idx="1">
                  <c:v>159.952918</c:v>
                </c:pt>
                <c:pt idx="2">
                  <c:v>0.33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35300967"/>
        <c:axId val="488056185"/>
      </c:barChart>
      <c:catAx>
        <c:axId val="735300967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  <a:r>
                  <a:rPr sz="1000"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单位：亿元</a:t>
                </a:r>
                <a:endParaRPr sz="1000">
                  <a:latin typeface="黑体" panose="02010609060101010101" charset="-122"/>
                  <a:ea typeface="黑体" panose="02010609060101010101" charset="-122"/>
                  <a:cs typeface="黑体" panose="02010609060101010101" charset="-122"/>
                  <a:sym typeface="黑体" panose="02010609060101010101" charset="-122"/>
                </a:endParaRPr>
              </a:p>
            </c:rich>
          </c:tx>
          <c:layout>
            <c:manualLayout>
              <c:xMode val="edge"/>
              <c:yMode val="edge"/>
              <c:x val="0.028696403499298"/>
              <c:y val="0.114080577804752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8056185"/>
        <c:crosses val="autoZero"/>
        <c:auto val="1"/>
        <c:lblAlgn val="ctr"/>
        <c:lblOffset val="100"/>
        <c:noMultiLvlLbl val="0"/>
      </c:catAx>
      <c:valAx>
        <c:axId val="48805618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735300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2020-11-10T09:47:00Z</dcterms:created>
  <dc:creator>沙漏</dc:creator>
  <cp:lastModifiedBy>沙漏</cp:lastModifiedBy>
  <dcterms:modified xsi:type="dcterms:W3CDTF">2020-11-11T11:01:09Z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