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8"/>
          <w:szCs w:val="38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8"/>
          <w:szCs w:val="38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8"/>
          <w:szCs w:val="38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8"/>
          <w:szCs w:val="38"/>
          <w:shd w:val="clear" w:fill="FFFFFF"/>
        </w:rPr>
        <w:t>年柳州市旅游主要指标数据通报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据统计，202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市共接待国内外游客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5688.11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万人次，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11.6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%；实现旅游总消费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649.70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%。其中，接待入境过夜游客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0.30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万人次，同比下降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38.2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%，实现国际旅游（外汇）消费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100.09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万美元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（折合人民币约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0.07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亿元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，同比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下降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17.3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%；接待国内游客人数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5687.81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万人次，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11.6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%；实现国内旅游消费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649.63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  2022年柳州市游客人数情况图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drawing>
          <wp:inline distT="0" distB="0" distL="114300" distR="114300">
            <wp:extent cx="5586095" cy="4315460"/>
            <wp:effectExtent l="4445" t="4445" r="10160" b="234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br w:type="page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  2022年柳州市旅游消费情况图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5613400" cy="4245610"/>
            <wp:effectExtent l="4445" t="4445" r="20955" b="1714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/>
    <w:sectPr>
      <w:pgSz w:w="11906" w:h="16838"/>
      <w:pgMar w:top="2007" w:right="1474" w:bottom="200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7D12"/>
    <w:rsid w:val="000272D7"/>
    <w:rsid w:val="08E0631B"/>
    <w:rsid w:val="0F075E84"/>
    <w:rsid w:val="3BAE71DE"/>
    <w:rsid w:val="3FDFFD58"/>
    <w:rsid w:val="409D4FB1"/>
    <w:rsid w:val="6870076B"/>
    <w:rsid w:val="6B4E7D12"/>
    <w:rsid w:val="79E7694F"/>
    <w:rsid w:val="BFD7CBFB"/>
    <w:rsid w:val="F7FEB171"/>
    <w:rsid w:val="FDFB57F6"/>
    <w:rsid w:val="FFF7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media/gxxc/1234-5678/&#23448;&#32593;&#25968;&#25454;&#20844;&#24320;&#65288;&#32473;&#20449;&#24687;&#31185;&#65289;/2022&#24180;&#32593;&#31449;&#25968;&#25454;&#20844;&#24320;(&#32473;&#20449;&#24687;&#31185;&#65289;/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media/gxxc/1234-5678/&#23448;&#32593;&#25968;&#25454;&#20844;&#24320;&#65288;&#32473;&#20449;&#24687;&#31185;&#65289;/2022&#24180;&#32593;&#31449;&#25968;&#25454;&#20844;&#24320;(&#32473;&#20449;&#24687;&#31185;&#65289;/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年柳州市游客人数情况图</a:t>
            </a:r>
            <a:endParaRPr sz="17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54964695498676"/>
          <c:y val="0.02862140244872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14743662612254"/>
          <c:y val="0.196733372572101"/>
          <c:w val="0.862634989200864"/>
          <c:h val="0.67357268981754"/>
        </c:manualLayout>
      </c:layout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ea"/>
                        <a:ea typeface="+mn-ea"/>
                        <a:cs typeface="+mn-ea"/>
                        <a:sym typeface="+mn-ea"/>
                      </a:defRPr>
                    </a:pPr>
                    <a:r>
                      <a:rPr>
                        <a:cs typeface="+mn-ea"/>
                        <a:sym typeface="+mn-ea"/>
                      </a:rPr>
                      <a:t>5688.11</a:t>
                    </a:r>
                    <a:r>
                      <a:rPr>
                        <a:latin typeface="+mn-ea"/>
                        <a:ea typeface="+mn-ea"/>
                        <a:cs typeface="+mn-ea"/>
                        <a:sym typeface="+mn-ea"/>
                      </a:rPr>
                      <a:t> </a:t>
                    </a:r>
                    <a:endParaRPr>
                      <a:latin typeface="+mn-ea"/>
                      <a:ea typeface="+mn-ea"/>
                      <a:cs typeface="+mn-ea"/>
                      <a:sym typeface="+mn-ea"/>
                    </a:endParaRPr>
                  </a:p>
                </c:rich>
              </c:tx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[图表.xlsx]四季度累计!$A$7:$A$9</c:f>
              <c:strCache>
                <c:ptCount val="3"/>
                <c:pt idx="0" c:formatCode="0.00_);[Red]\(0.00\)">
                  <c:v>国内外游客总人数</c:v>
                </c:pt>
                <c:pt idx="1" c:formatCode="0.00_);[Red]\(0.00\)">
                  <c:v>国内游客人数</c:v>
                </c:pt>
                <c:pt idx="2">
                  <c:v>入境过夜游客人数</c:v>
                </c:pt>
              </c:strCache>
            </c:strRef>
          </c:cat>
          <c:val>
            <c:numRef>
              <c:f>[图表.xlsx]四季度累计!$B$7:$B$9</c:f>
              <c:numCache>
                <c:formatCode>0.00_);[Red]\(0.00\)</c:formatCode>
                <c:ptCount val="3"/>
                <c:pt idx="0">
                  <c:v>5688.11</c:v>
                </c:pt>
                <c:pt idx="1">
                  <c:v>5687.81</c:v>
                </c:pt>
                <c:pt idx="2">
                  <c:v>0.3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179293130"/>
        <c:axId val="390546272"/>
      </c:barChart>
      <c:catAx>
        <c:axId val="179293130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defRPr>
                </a:pPr>
                <a:r>
                  <a:rPr sz="1100"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rPr>
                  <a:t>单位：万人次</a:t>
                </a:r>
                <a:endParaRPr sz="1100">
                  <a:latin typeface="黑体" panose="02010609060101010101" charset="-122"/>
                  <a:ea typeface="黑体" panose="02010609060101010101" charset="-122"/>
                  <a:cs typeface="黑体" panose="02010609060101010101" charset="-122"/>
                  <a:sym typeface="黑体" panose="02010609060101010101" charset="-122"/>
                </a:endParaRPr>
              </a:p>
            </c:rich>
          </c:tx>
          <c:layout>
            <c:manualLayout>
              <c:xMode val="edge"/>
              <c:yMode val="edge"/>
              <c:x val="0.0197655857062722"/>
              <c:y val="0.106355462104241"/>
            </c:manualLayout>
          </c:layout>
          <c:overlay val="false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0546272"/>
        <c:crosses val="autoZero"/>
        <c:auto val="true"/>
        <c:lblAlgn val="ctr"/>
        <c:lblOffset val="100"/>
        <c:noMultiLvlLbl val="false"/>
      </c:catAx>
      <c:valAx>
        <c:axId val="390546272"/>
        <c:scaling>
          <c:orientation val="minMax"/>
          <c:max val="8000"/>
        </c:scaling>
        <c:delete val="false"/>
        <c:axPos val="l"/>
        <c:numFmt formatCode="0_);[Red]\(0\)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</a:p>
        </c:txPr>
        <c:crossAx val="179293130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年柳州市旅游消费情况图</a:t>
            </a:r>
            <a:endParaRPr sz="17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38423311497628"/>
          <c:y val="0.0354983828274238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08981900452489"/>
          <c:y val="0.224199820520491"/>
          <c:w val="0.867828054298643"/>
          <c:h val="0.661322165719414"/>
        </c:manualLayout>
      </c:layout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[图表.xlsx]四季度累计!$C$7:$C$9</c:f>
              <c:strCache>
                <c:ptCount val="3"/>
                <c:pt idx="0" c:formatCode="0.00_);[Red]\(0.00\)">
                  <c:v>旅游总消费</c:v>
                </c:pt>
                <c:pt idx="1" c:formatCode="0.00_);[Red]\(0.00\)">
                  <c:v>国内旅游消费</c:v>
                </c:pt>
                <c:pt idx="2" c:formatCode="0.00_);[Red]\(0.00\)">
                  <c:v>国际旅游消费</c:v>
                </c:pt>
              </c:strCache>
            </c:strRef>
          </c:cat>
          <c:val>
            <c:numRef>
              <c:f>[图表.xlsx]四季度累计!$D$7:$D$9</c:f>
              <c:numCache>
                <c:formatCode>0.00_);[Red]\(0.00\)</c:formatCode>
                <c:ptCount val="3"/>
                <c:pt idx="0">
                  <c:v>649.7</c:v>
                </c:pt>
                <c:pt idx="1">
                  <c:v>649.63</c:v>
                </c:pt>
                <c:pt idx="2">
                  <c:v>0.07000000000005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861812034"/>
        <c:axId val="779807857"/>
      </c:barChart>
      <c:catAx>
        <c:axId val="861812034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defRPr>
                </a:pPr>
                <a:r>
                  <a:rPr sz="1100"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rPr>
                  <a:t>单位：亿元</a:t>
                </a:r>
                <a:endParaRPr sz="1100">
                  <a:latin typeface="黑体" panose="02010609060101010101" charset="-122"/>
                  <a:ea typeface="黑体" panose="02010609060101010101" charset="-122"/>
                  <a:cs typeface="黑体" panose="02010609060101010101" charset="-122"/>
                  <a:sym typeface="黑体" panose="02010609060101010101" charset="-122"/>
                </a:endParaRPr>
              </a:p>
            </c:rich>
          </c:tx>
          <c:layout>
            <c:manualLayout>
              <c:xMode val="edge"/>
              <c:yMode val="edge"/>
              <c:x val="0.0430674021098423"/>
              <c:y val="0.121593959851097"/>
            </c:manualLayout>
          </c:layout>
          <c:overlay val="false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9807857"/>
        <c:crosses val="autoZero"/>
        <c:auto val="true"/>
        <c:lblAlgn val="ctr"/>
        <c:lblOffset val="100"/>
        <c:noMultiLvlLbl val="false"/>
      </c:catAx>
      <c:valAx>
        <c:axId val="779807857"/>
        <c:scaling>
          <c:orientation val="minMax"/>
          <c:max val="800"/>
        </c:scaling>
        <c:delete val="false"/>
        <c:axPos val="l"/>
        <c:numFmt formatCode="0_);[Red]\(0\)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</a:p>
        </c:txPr>
        <c:crossAx val="861812034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2020-11-11T17:47:00Z</dcterms:created>
  <dc:creator>沙漏</dc:creator>
  <cp:lastModifiedBy>gxxc</cp:lastModifiedBy>
  <dcterms:modified xsi:type="dcterms:W3CDTF">2023-04-18T15:23:07Z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